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A1" w:rsidRPr="00481FA1" w:rsidRDefault="002C352D" w:rsidP="00481FA1">
      <w:pPr>
        <w:jc w:val="center"/>
        <w:rPr>
          <w:b/>
        </w:rPr>
      </w:pPr>
      <w:r>
        <w:rPr>
          <w:b/>
        </w:rPr>
        <w:t>Establishing a Monitor</w:t>
      </w:r>
      <w:r w:rsidR="002F5F01" w:rsidRPr="002F5F01">
        <w:rPr>
          <w:b/>
        </w:rPr>
        <w:t xml:space="preserve"> in AQS</w:t>
      </w:r>
    </w:p>
    <w:p w:rsidR="00DC7CFC" w:rsidRDefault="002C352D" w:rsidP="00481FA1">
      <w:pPr>
        <w:pStyle w:val="ListParagraph"/>
        <w:numPr>
          <w:ilvl w:val="0"/>
          <w:numId w:val="1"/>
        </w:numPr>
      </w:pPr>
      <w:r>
        <w:t xml:space="preserve">Login in to AQS and select </w:t>
      </w:r>
      <w:r w:rsidRPr="002C352D">
        <w:rPr>
          <w:b/>
        </w:rPr>
        <w:t>Screening Group Access</w:t>
      </w:r>
      <w:r>
        <w:t xml:space="preserve"> which allows you to make changes to your site. </w:t>
      </w:r>
    </w:p>
    <w:p w:rsidR="002C352D" w:rsidRDefault="00DC7CFC" w:rsidP="00DC7CFC">
      <w:pPr>
        <w:pStyle w:val="ListParagraph"/>
        <w:numPr>
          <w:ilvl w:val="1"/>
          <w:numId w:val="1"/>
        </w:numPr>
      </w:pPr>
      <w:r w:rsidRPr="00DC7CFC">
        <w:rPr>
          <w:b/>
        </w:rPr>
        <w:t>Read Only User</w:t>
      </w:r>
      <w:r>
        <w:t xml:space="preserve"> allows you to browse sites bu</w:t>
      </w:r>
      <w:r w:rsidR="008E39DA">
        <w:t>t not make</w:t>
      </w:r>
      <w:r>
        <w:t xml:space="preserve"> any changes to your site(s).</w:t>
      </w:r>
    </w:p>
    <w:p w:rsidR="00373BD8" w:rsidRDefault="00FB579D" w:rsidP="00481FA1">
      <w:pPr>
        <w:pStyle w:val="ListParagraph"/>
        <w:numPr>
          <w:ilvl w:val="0"/>
          <w:numId w:val="1"/>
        </w:numPr>
      </w:pPr>
      <w:r>
        <w:rPr>
          <w:noProof/>
        </w:rPr>
        <mc:AlternateContent>
          <mc:Choice Requires="wps">
            <w:drawing>
              <wp:anchor distT="0" distB="0" distL="114300" distR="114300" simplePos="0" relativeHeight="251660288" behindDoc="0" locked="0" layoutInCell="1" allowOverlap="1">
                <wp:simplePos x="0" y="0"/>
                <wp:positionH relativeFrom="column">
                  <wp:posOffset>2479431</wp:posOffset>
                </wp:positionH>
                <wp:positionV relativeFrom="paragraph">
                  <wp:posOffset>173160</wp:posOffset>
                </wp:positionV>
                <wp:extent cx="134815" cy="697523"/>
                <wp:effectExtent l="57150" t="0" r="36830" b="64770"/>
                <wp:wrapNone/>
                <wp:docPr id="3" name="Straight Arrow Connector 3"/>
                <wp:cNvGraphicFramePr/>
                <a:graphic xmlns:a="http://schemas.openxmlformats.org/drawingml/2006/main">
                  <a:graphicData uri="http://schemas.microsoft.com/office/word/2010/wordprocessingShape">
                    <wps:wsp>
                      <wps:cNvCnPr/>
                      <wps:spPr>
                        <a:xfrm flipH="1">
                          <a:off x="0" y="0"/>
                          <a:ext cx="134815" cy="697523"/>
                        </a:xfrm>
                        <a:prstGeom prst="straightConnector1">
                          <a:avLst/>
                        </a:prstGeom>
                        <a:ln>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227CDC" id="_x0000_t32" coordsize="21600,21600" o:spt="32" o:oned="t" path="m,l21600,21600e" filled="f">
                <v:path arrowok="t" fillok="f" o:connecttype="none"/>
                <o:lock v:ext="edit" shapetype="t"/>
              </v:shapetype>
              <v:shape id="Straight Arrow Connector 3" o:spid="_x0000_s1026" type="#_x0000_t32" style="position:absolute;margin-left:195.25pt;margin-top:13.65pt;width:10.6pt;height:54.9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" strokecolor="#9bbb59 [3206]">
                <v:stroke endarrow="block"/>
              </v:shape>
            </w:pict>
          </mc:Fallback>
        </mc:AlternateContent>
      </w:r>
      <w:r w:rsidR="00373BD8">
        <w:t xml:space="preserve">If not in Tribal Mode (you are in Tribal Mode if the words Tribal Mode appear in the blue title bar), in </w:t>
      </w:r>
      <w:r w:rsidR="008E39DA">
        <w:t>the</w:t>
      </w:r>
      <w:r w:rsidR="00481FA1">
        <w:t xml:space="preserve"> AQS </w:t>
      </w:r>
      <w:r w:rsidR="00E63646" w:rsidRPr="00737897">
        <w:rPr>
          <w:b/>
        </w:rPr>
        <w:t>Main M</w:t>
      </w:r>
      <w:r w:rsidR="00481FA1" w:rsidRPr="00737897">
        <w:rPr>
          <w:b/>
        </w:rPr>
        <w:t>enu</w:t>
      </w:r>
      <w:r w:rsidR="00481FA1">
        <w:t xml:space="preserve"> select </w:t>
      </w:r>
      <w:r w:rsidR="00481FA1" w:rsidRPr="00481FA1">
        <w:rPr>
          <w:b/>
        </w:rPr>
        <w:t xml:space="preserve">Action </w:t>
      </w:r>
      <w:r w:rsidR="00481FA1">
        <w:t>and “Tribal Mode On” to turn on tribal codes.</w:t>
      </w:r>
    </w:p>
    <w:p w:rsidR="002F5F01" w:rsidRDefault="00373BD8" w:rsidP="00373BD8">
      <w:pPr>
        <w:pStyle w:val="ListParagraph"/>
        <w:ind w:left="1440"/>
      </w:pPr>
      <w:r>
        <w:rPr>
          <w:noProof/>
        </w:rPr>
        <mc:AlternateContent>
          <mc:Choice Requires="wps">
            <w:drawing>
              <wp:anchor distT="0" distB="0" distL="114300" distR="114300" simplePos="0" relativeHeight="251659264" behindDoc="0" locked="0" layoutInCell="1" allowOverlap="1">
                <wp:simplePos x="0" y="0"/>
                <wp:positionH relativeFrom="column">
                  <wp:posOffset>2168330</wp:posOffset>
                </wp:positionH>
                <wp:positionV relativeFrom="paragraph">
                  <wp:posOffset>478155</wp:posOffset>
                </wp:positionV>
                <wp:extent cx="515815" cy="181707"/>
                <wp:effectExtent l="0" t="0" r="17780" b="27940"/>
                <wp:wrapNone/>
                <wp:docPr id="2" name="Oval 2"/>
                <wp:cNvGraphicFramePr/>
                <a:graphic xmlns:a="http://schemas.openxmlformats.org/drawingml/2006/main">
                  <a:graphicData uri="http://schemas.microsoft.com/office/word/2010/wordprocessingShape">
                    <wps:wsp>
                      <wps:cNvSpPr/>
                      <wps:spPr>
                        <a:xfrm>
                          <a:off x="0" y="0"/>
                          <a:ext cx="515815" cy="181707"/>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5C477" id="Oval 2" o:spid="_x0000_s1026" style="position:absolute;margin-left:170.75pt;margin-top:37.65pt;width:40.6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" filled="f" strokecolor="#9bbb59 [3206]" strokeweight="2pt"/>
            </w:pict>
          </mc:Fallback>
        </mc:AlternateContent>
      </w:r>
      <w:r w:rsidRPr="006E1964">
        <w:rPr>
          <w:noProof/>
        </w:rPr>
        <w:drawing>
          <wp:inline distT="0" distB="0" distL="0" distR="0" wp14:anchorId="0E736248" wp14:editId="7B8E2D48">
            <wp:extent cx="2098431" cy="629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2098431" cy="629916"/>
                    </a:xfrm>
                    <a:prstGeom prst="rect">
                      <a:avLst/>
                    </a:prstGeom>
                    <a:noFill/>
                    <a:ln>
                      <a:noFill/>
                    </a:ln>
                    <a:extLst>
                      <a:ext uri="{53640926-AAD7-44D8-BBD7-CCE9431645EC}">
                        <a14:shadowObscured xmlns:a14="http://schemas.microsoft.com/office/drawing/2010/main"/>
                      </a:ext>
                    </a:extLst>
                  </pic:spPr>
                </pic:pic>
              </a:graphicData>
            </a:graphic>
          </wp:inline>
        </w:drawing>
      </w:r>
      <w:r w:rsidR="00481FA1">
        <w:t xml:space="preserve">  </w:t>
      </w:r>
    </w:p>
    <w:p w:rsidR="00481FA1" w:rsidRDefault="008E39DA" w:rsidP="002F5F01">
      <w:pPr>
        <w:pStyle w:val="ListParagraph"/>
        <w:numPr>
          <w:ilvl w:val="0"/>
          <w:numId w:val="1"/>
        </w:numPr>
      </w:pPr>
      <w:r>
        <w:t>In the</w:t>
      </w:r>
      <w:r w:rsidR="00481FA1">
        <w:t xml:space="preserve"> AQS </w:t>
      </w:r>
      <w:r w:rsidR="00E63646" w:rsidRPr="00737897">
        <w:rPr>
          <w:b/>
        </w:rPr>
        <w:t>Main M</w:t>
      </w:r>
      <w:r w:rsidR="00481FA1" w:rsidRPr="00737897">
        <w:rPr>
          <w:b/>
        </w:rPr>
        <w:t>enu</w:t>
      </w:r>
      <w:r w:rsidR="00481FA1">
        <w:t xml:space="preserve"> select </w:t>
      </w:r>
      <w:r w:rsidR="0098119C">
        <w:rPr>
          <w:b/>
        </w:rPr>
        <w:t>Maintain</w:t>
      </w:r>
      <w:r w:rsidR="0098119C">
        <w:t xml:space="preserve"> </w:t>
      </w:r>
      <w:r w:rsidR="002C352D">
        <w:t xml:space="preserve">and </w:t>
      </w:r>
      <w:r w:rsidR="00E63646">
        <w:rPr>
          <w:b/>
        </w:rPr>
        <w:t>Site</w:t>
      </w:r>
      <w:r w:rsidR="00481FA1">
        <w:t>.</w:t>
      </w:r>
      <w:r w:rsidR="009469F6">
        <w:t xml:space="preserve"> A form will open up with tabs on top. The form will open in “Query Mode.”</w:t>
      </w:r>
    </w:p>
    <w:p w:rsidR="00E63646" w:rsidRDefault="00226A48" w:rsidP="00E63646">
      <w:pPr>
        <w:pStyle w:val="ListParagraph"/>
        <w:numPr>
          <w:ilvl w:val="0"/>
          <w:numId w:val="1"/>
        </w:numPr>
      </w:pPr>
      <w:r>
        <w:rPr>
          <w:noProof/>
        </w:rPr>
        <mc:AlternateContent>
          <mc:Choice Requires="wps">
            <w:drawing>
              <wp:anchor distT="0" distB="0" distL="114300" distR="114300" simplePos="0" relativeHeight="251663360" behindDoc="0" locked="0" layoutInCell="1" allowOverlap="1" wp14:anchorId="281A0463" wp14:editId="09271127">
                <wp:simplePos x="0" y="0"/>
                <wp:positionH relativeFrom="column">
                  <wp:posOffset>4419600</wp:posOffset>
                </wp:positionH>
                <wp:positionV relativeFrom="paragraph">
                  <wp:posOffset>386568</wp:posOffset>
                </wp:positionV>
                <wp:extent cx="246185" cy="222739"/>
                <wp:effectExtent l="0" t="0" r="20955" b="25400"/>
                <wp:wrapNone/>
                <wp:docPr id="6" name="Oval 6"/>
                <wp:cNvGraphicFramePr/>
                <a:graphic xmlns:a="http://schemas.openxmlformats.org/drawingml/2006/main">
                  <a:graphicData uri="http://schemas.microsoft.com/office/word/2010/wordprocessingShape">
                    <wps:wsp>
                      <wps:cNvSpPr/>
                      <wps:spPr>
                        <a:xfrm>
                          <a:off x="0" y="0"/>
                          <a:ext cx="246185" cy="222739"/>
                        </a:xfrm>
                        <a:prstGeom prst="ellipse">
                          <a:avLst/>
                        </a:prstGeom>
                        <a:no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2F242" id="Oval 6" o:spid="_x0000_s1026" style="position:absolute;margin-left:348pt;margin-top:30.45pt;width:19.4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" filled="f" strokecolor="#9bbb59" strokeweight="2pt"/>
            </w:pict>
          </mc:Fallback>
        </mc:AlternateContent>
      </w:r>
      <w:r w:rsidRPr="006E1964">
        <w:rPr>
          <w:noProof/>
        </w:rPr>
        <w:drawing>
          <wp:anchor distT="0" distB="0" distL="114300" distR="114300" simplePos="0" relativeHeight="251658240" behindDoc="1" locked="0" layoutInCell="1" allowOverlap="1">
            <wp:simplePos x="0" y="0"/>
            <wp:positionH relativeFrom="column">
              <wp:posOffset>2807139</wp:posOffset>
            </wp:positionH>
            <wp:positionV relativeFrom="paragraph">
              <wp:posOffset>392430</wp:posOffset>
            </wp:positionV>
            <wp:extent cx="2295144" cy="210312"/>
            <wp:effectExtent l="0" t="0" r="0" b="0"/>
            <wp:wrapTight wrapText="bothSides">
              <wp:wrapPolygon edited="0">
                <wp:start x="0" y="0"/>
                <wp:lineTo x="0" y="19577"/>
                <wp:lineTo x="21337" y="19577"/>
                <wp:lineTo x="2133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2295144" cy="2103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3646">
        <w:t xml:space="preserve">In </w:t>
      </w:r>
      <w:r w:rsidR="00FA48A9" w:rsidRPr="00FA48A9">
        <w:rPr>
          <w:b/>
        </w:rPr>
        <w:t>Basic Site Data</w:t>
      </w:r>
      <w:r w:rsidR="00FA48A9">
        <w:t xml:space="preserve"> tab use </w:t>
      </w:r>
      <w:r w:rsidR="00E63646">
        <w:t xml:space="preserve">the </w:t>
      </w:r>
      <w:r w:rsidR="00766ADD" w:rsidRPr="00E63646">
        <w:rPr>
          <w:b/>
        </w:rPr>
        <w:t>Tribal Code</w:t>
      </w:r>
      <w:r w:rsidR="00766ADD">
        <w:t xml:space="preserve"> field to e</w:t>
      </w:r>
      <w:r w:rsidR="002F5F01">
        <w:t xml:space="preserve">nter “Tribal Code.” Or search for </w:t>
      </w:r>
      <w:r w:rsidR="00766ADD">
        <w:t>the tribal code by</w:t>
      </w:r>
      <w:r w:rsidR="002F5F01">
        <w:t xml:space="preserve"> clicking on </w:t>
      </w:r>
      <w:r w:rsidR="007A10B6">
        <w:t xml:space="preserve">the </w:t>
      </w:r>
      <w:r w:rsidR="002F5F01">
        <w:t xml:space="preserve">box next to </w:t>
      </w:r>
      <w:r w:rsidR="00766ADD">
        <w:t xml:space="preserve">the </w:t>
      </w:r>
      <w:r w:rsidR="007A10B6">
        <w:t xml:space="preserve">field. After the correct tribal code has been entered </w:t>
      </w:r>
      <w:r w:rsidR="00E63646">
        <w:t xml:space="preserve">click on “Execute Query” on top tool bar.  </w:t>
      </w:r>
    </w:p>
    <w:p w:rsidR="002F5F01" w:rsidRDefault="00FA48A9" w:rsidP="00E63646">
      <w:pPr>
        <w:pStyle w:val="ListParagraph"/>
        <w:numPr>
          <w:ilvl w:val="0"/>
          <w:numId w:val="1"/>
        </w:numPr>
      </w:pPr>
      <w:r>
        <w:t>The “Execute Query” will then bring up a</w:t>
      </w:r>
      <w:r w:rsidR="00E63646">
        <w:t>ll tribal records</w:t>
      </w:r>
      <w:r>
        <w:t xml:space="preserve"> or sites</w:t>
      </w:r>
      <w:r w:rsidR="00E63646">
        <w:t xml:space="preserve"> associated wit</w:t>
      </w:r>
      <w:r>
        <w:t xml:space="preserve">h this tribal code. The </w:t>
      </w:r>
      <w:r w:rsidRPr="00FA48A9">
        <w:rPr>
          <w:b/>
        </w:rPr>
        <w:t>Basic Site Data</w:t>
      </w:r>
      <w:r>
        <w:t xml:space="preserve"> form will then become populated with </w:t>
      </w:r>
      <w:r w:rsidR="007A10B6">
        <w:t xml:space="preserve">the monitoring </w:t>
      </w:r>
      <w:r>
        <w:t xml:space="preserve">site information. Use the “Forward” button on the tool menu to see if there are additional sites or records. Select the site for which you want to create a monitor. </w:t>
      </w:r>
    </w:p>
    <w:p w:rsidR="00FA48A9" w:rsidRDefault="00FA48A9" w:rsidP="00E63646">
      <w:pPr>
        <w:pStyle w:val="ListParagraph"/>
        <w:numPr>
          <w:ilvl w:val="0"/>
          <w:numId w:val="1"/>
        </w:numPr>
      </w:pPr>
      <w:r>
        <w:t xml:space="preserve">Go to </w:t>
      </w:r>
      <w:r w:rsidR="007A10B6">
        <w:t xml:space="preserve">the </w:t>
      </w:r>
      <w:r>
        <w:t xml:space="preserve">bottom of form and click on </w:t>
      </w:r>
      <w:r w:rsidRPr="00FA48A9">
        <w:rPr>
          <w:b/>
        </w:rPr>
        <w:t>Create Monitor</w:t>
      </w:r>
      <w:r w:rsidR="00691BD5">
        <w:t xml:space="preserve">. This will open up the </w:t>
      </w:r>
      <w:r w:rsidR="00691BD5" w:rsidRPr="00691BD5">
        <w:rPr>
          <w:b/>
        </w:rPr>
        <w:t>M</w:t>
      </w:r>
      <w:r w:rsidRPr="00691BD5">
        <w:rPr>
          <w:b/>
        </w:rPr>
        <w:t>onitor</w:t>
      </w:r>
      <w:r w:rsidR="00691BD5" w:rsidRPr="00691BD5">
        <w:rPr>
          <w:b/>
        </w:rPr>
        <w:t xml:space="preserve"> Basic</w:t>
      </w:r>
      <w:r>
        <w:t xml:space="preserve"> form with tabs on the right side. </w:t>
      </w:r>
    </w:p>
    <w:p w:rsidR="00737897" w:rsidRDefault="007A10B6" w:rsidP="00E63646">
      <w:pPr>
        <w:pStyle w:val="ListParagraph"/>
        <w:numPr>
          <w:ilvl w:val="0"/>
          <w:numId w:val="1"/>
        </w:numPr>
      </w:pPr>
      <w:r>
        <w:t xml:space="preserve">The </w:t>
      </w:r>
      <w:r w:rsidRPr="007A10B6">
        <w:rPr>
          <w:b/>
        </w:rPr>
        <w:t>M</w:t>
      </w:r>
      <w:r w:rsidR="00737897" w:rsidRPr="007A10B6">
        <w:rPr>
          <w:b/>
        </w:rPr>
        <w:t xml:space="preserve">onitor </w:t>
      </w:r>
      <w:r w:rsidRPr="007A10B6">
        <w:rPr>
          <w:b/>
        </w:rPr>
        <w:t>Basic</w:t>
      </w:r>
      <w:r>
        <w:t xml:space="preserve"> form should </w:t>
      </w:r>
      <w:r w:rsidR="00737897">
        <w:t>automatically become populated with Tribal Code, State Code, County Code, and Site ID.</w:t>
      </w:r>
    </w:p>
    <w:p w:rsidR="00EE6116" w:rsidRDefault="00EE6116" w:rsidP="00E63646">
      <w:pPr>
        <w:pStyle w:val="ListParagraph"/>
        <w:numPr>
          <w:ilvl w:val="0"/>
          <w:numId w:val="1"/>
        </w:numPr>
      </w:pPr>
      <w:r>
        <w:t xml:space="preserve">Use </w:t>
      </w:r>
      <w:r w:rsidRPr="00EE6116">
        <w:rPr>
          <w:b/>
        </w:rPr>
        <w:t>Parameter Code</w:t>
      </w:r>
      <w:r>
        <w:t xml:space="preserve"> field to enter appropriate “Parameter Code” for your monitor. You can c</w:t>
      </w:r>
      <w:r w:rsidR="00737897">
        <w:t xml:space="preserve">onsult </w:t>
      </w:r>
      <w:r>
        <w:t xml:space="preserve">the </w:t>
      </w:r>
      <w:r w:rsidR="00737897">
        <w:t xml:space="preserve">AQS Coding Manual or EPA </w:t>
      </w:r>
      <w:r>
        <w:t>Regional AQS C</w:t>
      </w:r>
      <w:r w:rsidR="00737897">
        <w:t xml:space="preserve">ontact to make sure you select the correct </w:t>
      </w:r>
      <w:r>
        <w:t>“</w:t>
      </w:r>
      <w:r w:rsidR="00737897">
        <w:t>Parameter Code</w:t>
      </w:r>
      <w:r>
        <w:t>” for your monitor</w:t>
      </w:r>
      <w:r w:rsidR="00737897">
        <w:t>.</w:t>
      </w:r>
      <w:r>
        <w:t xml:space="preserve"> For example, use code 88501 for PM2.5 Raw Data (for BAM1020 with SCC non FEM method). You can use the drop down list to search for your monitor’s parameter code and click okay.  </w:t>
      </w:r>
      <w:r w:rsidR="00737897">
        <w:t xml:space="preserve"> </w:t>
      </w:r>
    </w:p>
    <w:p w:rsidR="00737897" w:rsidRDefault="00EE6116" w:rsidP="00E63646">
      <w:pPr>
        <w:pStyle w:val="ListParagraph"/>
        <w:numPr>
          <w:ilvl w:val="0"/>
          <w:numId w:val="1"/>
        </w:numPr>
      </w:pPr>
      <w:r>
        <w:t xml:space="preserve">Use </w:t>
      </w:r>
      <w:r w:rsidRPr="00EE6116">
        <w:rPr>
          <w:b/>
        </w:rPr>
        <w:t>POC</w:t>
      </w:r>
      <w:r>
        <w:t xml:space="preserve"> (</w:t>
      </w:r>
      <w:r w:rsidR="0098119C">
        <w:t xml:space="preserve">Parameter </w:t>
      </w:r>
      <w:r>
        <w:t xml:space="preserve">Occurrence Code) </w:t>
      </w:r>
      <w:r w:rsidR="007A10B6">
        <w:t xml:space="preserve">field </w:t>
      </w:r>
      <w:r>
        <w:t>to enter the number of monitors</w:t>
      </w:r>
      <w:r w:rsidR="007A10B6">
        <w:t xml:space="preserve"> at the site</w:t>
      </w:r>
      <w:r w:rsidR="00FE4D6F">
        <w:t xml:space="preserve"> for each parameter</w:t>
      </w:r>
      <w:r w:rsidR="007A10B6">
        <w:t>. If only</w:t>
      </w:r>
      <w:r>
        <w:t xml:space="preserve"> one monitor </w:t>
      </w:r>
      <w:r w:rsidR="007A10B6">
        <w:t xml:space="preserve">is established </w:t>
      </w:r>
      <w:r>
        <w:t>for this site</w:t>
      </w:r>
      <w:r w:rsidR="00FE4D6F">
        <w:t xml:space="preserve"> and parameter,</w:t>
      </w:r>
      <w:r>
        <w:t xml:space="preserve"> then input </w:t>
      </w:r>
      <w:r w:rsidR="007A10B6">
        <w:t>one (</w:t>
      </w:r>
      <w:r>
        <w:t>1</w:t>
      </w:r>
      <w:r w:rsidR="007A10B6">
        <w:t>)</w:t>
      </w:r>
      <w:r>
        <w:t xml:space="preserve">. </w:t>
      </w:r>
      <w:r w:rsidR="00737897">
        <w:t xml:space="preserve"> </w:t>
      </w:r>
    </w:p>
    <w:p w:rsidR="00EE6116" w:rsidRDefault="00EE6116" w:rsidP="00E63646">
      <w:pPr>
        <w:pStyle w:val="ListParagraph"/>
        <w:numPr>
          <w:ilvl w:val="0"/>
          <w:numId w:val="1"/>
        </w:numPr>
      </w:pPr>
      <w:r>
        <w:t>To access the tabs to the left, click on one of the fields below and hit</w:t>
      </w:r>
      <w:r w:rsidR="007A10B6">
        <w:t xml:space="preserve"> the</w:t>
      </w:r>
      <w:r>
        <w:t xml:space="preserve"> “Tab”</w:t>
      </w:r>
      <w:r w:rsidR="007A10B6">
        <w:t xml:space="preserve"> key</w:t>
      </w:r>
      <w:r>
        <w:t xml:space="preserve"> on your keyboard. For example, click on “Dominant Source” and hit “Tab” on your keyboard.</w:t>
      </w:r>
    </w:p>
    <w:p w:rsidR="00EE6116" w:rsidRDefault="00EE6116" w:rsidP="00E63646">
      <w:pPr>
        <w:pStyle w:val="ListParagraph"/>
        <w:numPr>
          <w:ilvl w:val="0"/>
          <w:numId w:val="1"/>
        </w:numPr>
      </w:pPr>
      <w:r>
        <w:t>Not all of the tabs will have required inf</w:t>
      </w:r>
      <w:r w:rsidR="007A10B6">
        <w:t xml:space="preserve">ormation </w:t>
      </w:r>
      <w:r>
        <w:t xml:space="preserve">but </w:t>
      </w:r>
      <w:r w:rsidR="007A10B6">
        <w:t xml:space="preserve">for now </w:t>
      </w:r>
      <w:r>
        <w:t xml:space="preserve">we will populate the tabs that will need to have data. </w:t>
      </w:r>
    </w:p>
    <w:p w:rsidR="00EE6116" w:rsidRDefault="00BD3E97" w:rsidP="00E63646">
      <w:pPr>
        <w:pStyle w:val="ListParagraph"/>
        <w:numPr>
          <w:ilvl w:val="0"/>
          <w:numId w:val="1"/>
        </w:numPr>
      </w:pPr>
      <w:r>
        <w:t xml:space="preserve">In the </w:t>
      </w:r>
      <w:r w:rsidR="00EE6116" w:rsidRPr="00EE6116">
        <w:rPr>
          <w:b/>
        </w:rPr>
        <w:t>Sample Periods</w:t>
      </w:r>
      <w:r>
        <w:rPr>
          <w:b/>
        </w:rPr>
        <w:t xml:space="preserve"> </w:t>
      </w:r>
      <w:r w:rsidRPr="00BD3E97">
        <w:t>tab</w:t>
      </w:r>
      <w:r>
        <w:t>, enter in the “Begin D</w:t>
      </w:r>
      <w:r w:rsidR="00EE6116">
        <w:t>ate</w:t>
      </w:r>
      <w:r>
        <w:t>”</w:t>
      </w:r>
      <w:r w:rsidR="00EE6116">
        <w:t xml:space="preserve"> that corresponds to when your monitor began collecting data. </w:t>
      </w:r>
      <w:r>
        <w:t xml:space="preserve">Use the </w:t>
      </w:r>
      <w:r w:rsidR="00995CE0">
        <w:t>YY</w:t>
      </w:r>
      <w:r>
        <w:t xml:space="preserve">YYMMDD format and leave “End Date” blank as your monitor will be actively collecting data. </w:t>
      </w:r>
      <w:r w:rsidR="00EE6116">
        <w:t xml:space="preserve"> </w:t>
      </w:r>
    </w:p>
    <w:p w:rsidR="00BD3E97" w:rsidRDefault="00BD3E97" w:rsidP="00E63646">
      <w:pPr>
        <w:pStyle w:val="ListParagraph"/>
        <w:numPr>
          <w:ilvl w:val="0"/>
          <w:numId w:val="1"/>
        </w:numPr>
      </w:pPr>
      <w:r>
        <w:t xml:space="preserve">In the </w:t>
      </w:r>
      <w:r>
        <w:rPr>
          <w:b/>
        </w:rPr>
        <w:t>Type Assignment</w:t>
      </w:r>
      <w:r>
        <w:t xml:space="preserve"> tab, under “Monitor Type” click on the drop down box and select TRIBAL and click okay. Also be sure to add a “Begin Date” as well. </w:t>
      </w:r>
    </w:p>
    <w:p w:rsidR="00BD3E97" w:rsidRDefault="00BD3E97" w:rsidP="00E63646">
      <w:pPr>
        <w:pStyle w:val="ListParagraph"/>
        <w:numPr>
          <w:ilvl w:val="0"/>
          <w:numId w:val="1"/>
        </w:numPr>
      </w:pPr>
      <w:r>
        <w:t xml:space="preserve">In the </w:t>
      </w:r>
      <w:r w:rsidRPr="00BD3E97">
        <w:rPr>
          <w:b/>
        </w:rPr>
        <w:t>Network Affiliations</w:t>
      </w:r>
      <w:r>
        <w:t xml:space="preserve"> tab, under “Monitor Network Code” click on the drop down box and select your network. </w:t>
      </w:r>
      <w:r w:rsidRPr="00BD3E97">
        <w:rPr>
          <w:i/>
        </w:rPr>
        <w:t>This is not mandatory so you can skip this</w:t>
      </w:r>
      <w:r>
        <w:t xml:space="preserve">. </w:t>
      </w:r>
    </w:p>
    <w:p w:rsidR="000936E9" w:rsidRDefault="00BD3E97" w:rsidP="00E63646">
      <w:pPr>
        <w:pStyle w:val="ListParagraph"/>
        <w:numPr>
          <w:ilvl w:val="0"/>
          <w:numId w:val="1"/>
        </w:numPr>
      </w:pPr>
      <w:r>
        <w:lastRenderedPageBreak/>
        <w:t xml:space="preserve">In the </w:t>
      </w:r>
      <w:r w:rsidRPr="007A10B6">
        <w:rPr>
          <w:b/>
        </w:rPr>
        <w:t>Agency Roles</w:t>
      </w:r>
      <w:r>
        <w:t xml:space="preserve"> tab, under “Agency Roles” click on the drop down box and select COLLECTING, PQAO, CERTIFYING, REPORTING and ANALYZING</w:t>
      </w:r>
      <w:r w:rsidR="000936E9">
        <w:t>.</w:t>
      </w:r>
      <w:r>
        <w:t xml:space="preserve"> </w:t>
      </w:r>
      <w:r w:rsidR="007A10B6">
        <w:t>E</w:t>
      </w:r>
      <w:r>
        <w:t xml:space="preserve">ach </w:t>
      </w:r>
      <w:r w:rsidR="007A10B6">
        <w:t>role or row</w:t>
      </w:r>
      <w:r w:rsidR="000936E9">
        <w:t xml:space="preserve"> </w:t>
      </w:r>
      <w:r w:rsidR="007A10B6">
        <w:t>will need to correspond with</w:t>
      </w:r>
      <w:r>
        <w:t xml:space="preserve"> your </w:t>
      </w:r>
      <w:r w:rsidRPr="00BD3E97">
        <w:rPr>
          <w:b/>
        </w:rPr>
        <w:t>Agency Code</w:t>
      </w:r>
      <w:r>
        <w:t xml:space="preserve"> or Tribal Code</w:t>
      </w:r>
      <w:r w:rsidR="005E68FC">
        <w:t xml:space="preserve"> and needs a “Begin Date”</w:t>
      </w:r>
      <w:r>
        <w:t xml:space="preserve">. </w:t>
      </w:r>
    </w:p>
    <w:p w:rsidR="00BD3E97" w:rsidRDefault="000936E9" w:rsidP="00E63646">
      <w:pPr>
        <w:pStyle w:val="ListParagraph"/>
        <w:numPr>
          <w:ilvl w:val="0"/>
          <w:numId w:val="1"/>
        </w:numPr>
      </w:pPr>
      <w:r>
        <w:t xml:space="preserve">In the </w:t>
      </w:r>
      <w:r w:rsidRPr="0031348A">
        <w:rPr>
          <w:b/>
        </w:rPr>
        <w:t xml:space="preserve">Objectives </w:t>
      </w:r>
      <w:r>
        <w:t xml:space="preserve">tab, under “Monitor Objective Type” click on the drop down box and select </w:t>
      </w:r>
      <w:r w:rsidR="00FE4D6F">
        <w:t xml:space="preserve">the appropriate objective.  Some common selections for tribal monitors are </w:t>
      </w:r>
      <w:r>
        <w:t>POPULATION EXPOSURE</w:t>
      </w:r>
      <w:r w:rsidR="00FE4D6F">
        <w:t xml:space="preserve"> and GENERAL/BACKGROUND</w:t>
      </w:r>
      <w:r>
        <w:t>. Under “Urban Areas Represented”</w:t>
      </w:r>
      <w:r w:rsidR="001125AC">
        <w:t xml:space="preserve"> </w:t>
      </w:r>
      <w:r w:rsidR="00D26E01">
        <w:t>(“UA Represented”)</w:t>
      </w:r>
      <w:r>
        <w:t xml:space="preserve">, “MSA Represented”, etc. you can view the drop down box and select if applicable or leave these blank. </w:t>
      </w:r>
      <w:r w:rsidR="009310F3">
        <w:rPr>
          <w:i/>
        </w:rPr>
        <w:t>For</w:t>
      </w:r>
      <w:r w:rsidR="009310F3" w:rsidRPr="007A10B6">
        <w:rPr>
          <w:i/>
        </w:rPr>
        <w:t xml:space="preserve"> </w:t>
      </w:r>
      <w:r w:rsidRPr="007A10B6">
        <w:rPr>
          <w:i/>
        </w:rPr>
        <w:t xml:space="preserve">tribal </w:t>
      </w:r>
      <w:r w:rsidR="007A10B6" w:rsidRPr="007A10B6">
        <w:rPr>
          <w:i/>
        </w:rPr>
        <w:t xml:space="preserve">monitors </w:t>
      </w:r>
      <w:r w:rsidR="009310F3">
        <w:rPr>
          <w:i/>
        </w:rPr>
        <w:t xml:space="preserve">that </w:t>
      </w:r>
      <w:r w:rsidR="007A10B6" w:rsidRPr="007A10B6">
        <w:rPr>
          <w:i/>
        </w:rPr>
        <w:t>are not in urban areas</w:t>
      </w:r>
      <w:r w:rsidR="009310F3">
        <w:rPr>
          <w:i/>
        </w:rPr>
        <w:t>,</w:t>
      </w:r>
      <w:r w:rsidR="007A10B6" w:rsidRPr="007A10B6">
        <w:rPr>
          <w:i/>
        </w:rPr>
        <w:t xml:space="preserve"> you can </w:t>
      </w:r>
      <w:r w:rsidR="009310F3">
        <w:rPr>
          <w:i/>
        </w:rPr>
        <w:t>enter a “UA Represented” of 0000</w:t>
      </w:r>
      <w:r w:rsidR="009B1CF0">
        <w:rPr>
          <w:i/>
        </w:rPr>
        <w:t xml:space="preserve">-Not </w:t>
      </w:r>
      <w:proofErr w:type="gramStart"/>
      <w:r w:rsidR="009B1CF0">
        <w:rPr>
          <w:i/>
        </w:rPr>
        <w:t>In</w:t>
      </w:r>
      <w:proofErr w:type="gramEnd"/>
      <w:r w:rsidR="009B1CF0">
        <w:rPr>
          <w:i/>
        </w:rPr>
        <w:t xml:space="preserve"> An Urban Area</w:t>
      </w:r>
      <w:r w:rsidR="007A10B6">
        <w:t xml:space="preserve">. </w:t>
      </w:r>
      <w:r>
        <w:t xml:space="preserve">  </w:t>
      </w:r>
      <w:r w:rsidR="00BD3E97">
        <w:t xml:space="preserve">   </w:t>
      </w:r>
    </w:p>
    <w:p w:rsidR="000936E9" w:rsidRDefault="000936E9" w:rsidP="00E63646">
      <w:pPr>
        <w:pStyle w:val="ListParagraph"/>
        <w:numPr>
          <w:ilvl w:val="0"/>
          <w:numId w:val="1"/>
        </w:numPr>
      </w:pPr>
      <w:r>
        <w:t xml:space="preserve">In the </w:t>
      </w:r>
      <w:proofErr w:type="spellStart"/>
      <w:r w:rsidRPr="000936E9">
        <w:rPr>
          <w:b/>
        </w:rPr>
        <w:t>Req</w:t>
      </w:r>
      <w:proofErr w:type="spellEnd"/>
      <w:r w:rsidRPr="000936E9">
        <w:rPr>
          <w:b/>
        </w:rPr>
        <w:t xml:space="preserve"> Frequencies</w:t>
      </w:r>
      <w:r>
        <w:t xml:space="preserve"> tab, input the frequency</w:t>
      </w:r>
      <w:r w:rsidR="009310F3">
        <w:t xml:space="preserve"> and </w:t>
      </w:r>
      <w:r w:rsidR="00DB238B">
        <w:t>“Begin Date”</w:t>
      </w:r>
      <w:r>
        <w:t xml:space="preserve"> if </w:t>
      </w:r>
      <w:r w:rsidR="00A31D87">
        <w:t>monitor measures</w:t>
      </w:r>
      <w:r>
        <w:t xml:space="preserve"> PM and/or operates on a sample schedule</w:t>
      </w:r>
      <w:r w:rsidR="009310F3">
        <w:t xml:space="preserve">.  If the monitor measures </w:t>
      </w:r>
      <w:r w:rsidR="0023374F">
        <w:t xml:space="preserve">PM </w:t>
      </w:r>
      <w:r w:rsidR="009310F3">
        <w:t xml:space="preserve">continuously, such as a TEOM, enter </w:t>
      </w:r>
      <w:r w:rsidR="00DB238B">
        <w:t>a “</w:t>
      </w:r>
      <w:proofErr w:type="spellStart"/>
      <w:r w:rsidR="00DB238B">
        <w:t>Coll</w:t>
      </w:r>
      <w:proofErr w:type="spellEnd"/>
      <w:r w:rsidR="00DB238B">
        <w:t xml:space="preserve"> </w:t>
      </w:r>
      <w:proofErr w:type="spellStart"/>
      <w:r w:rsidR="00DB238B">
        <w:t>Freq</w:t>
      </w:r>
      <w:proofErr w:type="spellEnd"/>
      <w:r w:rsidR="00DB238B">
        <w:t xml:space="preserve"> Code”</w:t>
      </w:r>
      <w:r w:rsidR="009310F3">
        <w:t xml:space="preserve"> of 1 and </w:t>
      </w:r>
      <w:r w:rsidR="00DB238B">
        <w:t>the “Begin Date”</w:t>
      </w:r>
      <w:r>
        <w:t>.</w:t>
      </w:r>
    </w:p>
    <w:p w:rsidR="000936E9" w:rsidRDefault="000936E9" w:rsidP="00E63646">
      <w:pPr>
        <w:pStyle w:val="ListParagraph"/>
        <w:numPr>
          <w:ilvl w:val="0"/>
          <w:numId w:val="1"/>
        </w:numPr>
      </w:pPr>
      <w:r>
        <w:t xml:space="preserve">In the </w:t>
      </w:r>
      <w:r w:rsidRPr="000936E9">
        <w:rPr>
          <w:b/>
        </w:rPr>
        <w:t>QA Collocation</w:t>
      </w:r>
      <w:r>
        <w:t xml:space="preserve"> tab</w:t>
      </w:r>
      <w:r w:rsidR="0031348A">
        <w:t xml:space="preserve">, </w:t>
      </w:r>
      <w:r w:rsidR="0031348A" w:rsidRPr="007A10B6">
        <w:rPr>
          <w:i/>
        </w:rPr>
        <w:t>input</w:t>
      </w:r>
      <w:r w:rsidRPr="007A10B6">
        <w:rPr>
          <w:i/>
        </w:rPr>
        <w:t xml:space="preserve"> </w:t>
      </w:r>
      <w:r w:rsidR="0031348A" w:rsidRPr="007A10B6">
        <w:rPr>
          <w:i/>
        </w:rPr>
        <w:t>monitor information if there is collocation (PM) monitor present, if not, skip this step</w:t>
      </w:r>
      <w:r w:rsidR="0031348A">
        <w:t>.</w:t>
      </w:r>
      <w:r w:rsidR="0023374F">
        <w:t xml:space="preserve">  If this is the designated primary sampler, enter a “Begin Date” and Y for the “Primary Sampler?” field.  If this is the collocated sampler, enter a “Begin Date”, N for the “Primary Sampler?” field</w:t>
      </w:r>
      <w:r w:rsidR="00C40DFF">
        <w:t>,</w:t>
      </w:r>
      <w:r w:rsidR="0023374F">
        <w:t xml:space="preserve"> and a value, in meters, in the “Distance from Primary Sampler” field</w:t>
      </w:r>
      <w:r w:rsidR="0031348A">
        <w:t xml:space="preserve"> </w:t>
      </w:r>
    </w:p>
    <w:p w:rsidR="0031348A" w:rsidRDefault="0031348A" w:rsidP="00E63646">
      <w:pPr>
        <w:pStyle w:val="ListParagraph"/>
        <w:numPr>
          <w:ilvl w:val="0"/>
          <w:numId w:val="1"/>
        </w:numPr>
      </w:pPr>
      <w:r>
        <w:t xml:space="preserve">In the </w:t>
      </w:r>
      <w:r w:rsidRPr="0031348A">
        <w:rPr>
          <w:b/>
        </w:rPr>
        <w:t>Method Code</w:t>
      </w:r>
      <w:r>
        <w:t xml:space="preserve"> tab, under the “Methods Code” click on the drop down list and select the monitor or instrument that you are using. For example, Met-One BAM-1020 W/PM2.5 SCC. The “Analysis Description” should automatically become populated. Be sure to provide a “Begin Date” which should correspond to when you will begin uploading data to AQS for this monitor. </w:t>
      </w:r>
    </w:p>
    <w:p w:rsidR="00691BD5" w:rsidRPr="00691BD5" w:rsidRDefault="0031348A" w:rsidP="00E63646">
      <w:pPr>
        <w:pStyle w:val="ListParagraph"/>
        <w:numPr>
          <w:ilvl w:val="0"/>
          <w:numId w:val="1"/>
        </w:numPr>
      </w:pPr>
      <w:r w:rsidRPr="007A10B6">
        <w:rPr>
          <w:i/>
        </w:rPr>
        <w:t>You do not have to enter information for the following tabs so skip</w:t>
      </w:r>
      <w:r w:rsidRPr="007A10B6">
        <w:t>:</w:t>
      </w:r>
      <w:r>
        <w:t xml:space="preserve"> </w:t>
      </w:r>
      <w:r w:rsidRPr="0031348A">
        <w:rPr>
          <w:b/>
        </w:rPr>
        <w:t>Exclusions, Pollutant Area,</w:t>
      </w:r>
      <w:r w:rsidR="00D91B8A">
        <w:rPr>
          <w:b/>
        </w:rPr>
        <w:t xml:space="preserve"> Tangent Road,</w:t>
      </w:r>
      <w:r w:rsidRPr="0031348A">
        <w:rPr>
          <w:b/>
        </w:rPr>
        <w:t xml:space="preserve"> </w:t>
      </w:r>
      <w:proofErr w:type="spellStart"/>
      <w:r w:rsidRPr="0031348A">
        <w:rPr>
          <w:b/>
        </w:rPr>
        <w:t>Prob</w:t>
      </w:r>
      <w:proofErr w:type="spellEnd"/>
      <w:r w:rsidRPr="0031348A">
        <w:rPr>
          <w:b/>
        </w:rPr>
        <w:t xml:space="preserve"> Obs</w:t>
      </w:r>
      <w:r w:rsidR="00691BD5">
        <w:rPr>
          <w:b/>
        </w:rPr>
        <w:t>.</w:t>
      </w:r>
      <w:r w:rsidRPr="0031348A">
        <w:rPr>
          <w:b/>
        </w:rPr>
        <w:t xml:space="preserve">, </w:t>
      </w:r>
      <w:proofErr w:type="spellStart"/>
      <w:r w:rsidRPr="0031348A">
        <w:rPr>
          <w:b/>
        </w:rPr>
        <w:t>Reg</w:t>
      </w:r>
      <w:proofErr w:type="spellEnd"/>
      <w:r w:rsidRPr="0031348A">
        <w:rPr>
          <w:b/>
        </w:rPr>
        <w:t xml:space="preserve"> Compliance</w:t>
      </w:r>
      <w:r w:rsidR="00D91B8A">
        <w:rPr>
          <w:b/>
        </w:rPr>
        <w:t>s</w:t>
      </w:r>
      <w:r w:rsidRPr="0031348A">
        <w:rPr>
          <w:b/>
        </w:rPr>
        <w:t xml:space="preserve">, Protocols, Channels, and Comments tab. </w:t>
      </w:r>
    </w:p>
    <w:p w:rsidR="00691BD5" w:rsidRDefault="00691BD5" w:rsidP="00E63646">
      <w:pPr>
        <w:pStyle w:val="ListParagraph"/>
        <w:numPr>
          <w:ilvl w:val="0"/>
          <w:numId w:val="1"/>
        </w:numPr>
      </w:pPr>
      <w:r>
        <w:t xml:space="preserve">Return to </w:t>
      </w:r>
      <w:r w:rsidRPr="00691BD5">
        <w:rPr>
          <w:b/>
        </w:rPr>
        <w:t>Monitor Basic</w:t>
      </w:r>
      <w:r>
        <w:t xml:space="preserve"> form or tab.</w:t>
      </w:r>
    </w:p>
    <w:p w:rsidR="0031348A" w:rsidRDefault="00691BD5" w:rsidP="00E63646">
      <w:pPr>
        <w:pStyle w:val="ListParagraph"/>
        <w:numPr>
          <w:ilvl w:val="0"/>
          <w:numId w:val="1"/>
        </w:numPr>
      </w:pPr>
      <w:r>
        <w:t xml:space="preserve">Go to the upper left hand corner of the tool bar and click on the </w:t>
      </w:r>
      <w:r w:rsidRPr="00691BD5">
        <w:rPr>
          <w:b/>
        </w:rPr>
        <w:t>SAVE</w:t>
      </w:r>
      <w:r>
        <w:t xml:space="preserve"> icon to save your monitor information.  </w:t>
      </w:r>
      <w:r w:rsidR="0031348A">
        <w:t xml:space="preserve">  </w:t>
      </w:r>
    </w:p>
    <w:p w:rsidR="00691BD5" w:rsidRDefault="00691BD5" w:rsidP="00E63646">
      <w:pPr>
        <w:pStyle w:val="ListParagraph"/>
        <w:numPr>
          <w:ilvl w:val="0"/>
          <w:numId w:val="1"/>
        </w:numPr>
      </w:pPr>
      <w:r>
        <w:t>View the status bar on the lowe</w:t>
      </w:r>
      <w:r w:rsidR="007A10B6">
        <w:t xml:space="preserve">r right hand side of screen as well as </w:t>
      </w:r>
      <w:r>
        <w:t>observe the lower left hand side of screen</w:t>
      </w:r>
      <w:r w:rsidR="00FB4631">
        <w:t>.</w:t>
      </w:r>
      <w:r>
        <w:t xml:space="preserve"> You should see “Transaction Complet</w:t>
      </w:r>
      <w:r w:rsidR="00FB4631">
        <w:t>e. 10</w:t>
      </w:r>
      <w:r w:rsidR="00D91B8A">
        <w:t xml:space="preserve"> (or more)</w:t>
      </w:r>
      <w:r w:rsidR="00FB4631">
        <w:t xml:space="preserve"> records applied and saved</w:t>
      </w:r>
      <w:r>
        <w:t>”</w:t>
      </w:r>
      <w:r w:rsidR="00FB4631">
        <w:t xml:space="preserve"> on the lower left hand side of the screen.</w:t>
      </w:r>
      <w:r>
        <w:t xml:space="preserve"> This means all 10</w:t>
      </w:r>
      <w:r w:rsidR="00D91B8A">
        <w:t xml:space="preserve"> (or more)</w:t>
      </w:r>
      <w:r>
        <w:t xml:space="preserve"> tables connected to the </w:t>
      </w:r>
      <w:r w:rsidRPr="00DB238B">
        <w:rPr>
          <w:b/>
        </w:rPr>
        <w:t>Monitor Basic</w:t>
      </w:r>
      <w:r>
        <w:t xml:space="preserve"> form has been completed. </w:t>
      </w:r>
    </w:p>
    <w:p w:rsidR="00FD325F" w:rsidRDefault="00691BD5" w:rsidP="00E63646">
      <w:pPr>
        <w:pStyle w:val="ListParagraph"/>
        <w:numPr>
          <w:ilvl w:val="0"/>
          <w:numId w:val="1"/>
        </w:numPr>
      </w:pPr>
      <w:r>
        <w:t xml:space="preserve">The </w:t>
      </w:r>
      <w:r w:rsidRPr="00691BD5">
        <w:rPr>
          <w:b/>
        </w:rPr>
        <w:t>Status Indicator</w:t>
      </w:r>
      <w:r>
        <w:t xml:space="preserve"> should now be changed to </w:t>
      </w:r>
      <w:r w:rsidRPr="00691BD5">
        <w:rPr>
          <w:b/>
        </w:rPr>
        <w:t>P</w:t>
      </w:r>
      <w:r>
        <w:t>. This means this monitor is in “Production” and you can now upload data for it.</w:t>
      </w:r>
      <w:r w:rsidR="00D91B8A">
        <w:t xml:space="preserve">  </w:t>
      </w:r>
    </w:p>
    <w:p w:rsidR="00691BD5" w:rsidRDefault="00D91B8A" w:rsidP="00FD325F">
      <w:pPr>
        <w:pStyle w:val="ListParagraph"/>
        <w:numPr>
          <w:ilvl w:val="1"/>
          <w:numId w:val="1"/>
        </w:numPr>
      </w:pPr>
      <w:r>
        <w:t xml:space="preserve">If the </w:t>
      </w:r>
      <w:r w:rsidRPr="00377C71">
        <w:rPr>
          <w:b/>
        </w:rPr>
        <w:t>Status Indicator</w:t>
      </w:r>
      <w:r>
        <w:t xml:space="preserve"> is still </w:t>
      </w:r>
      <w:r w:rsidRPr="008B3937">
        <w:rPr>
          <w:b/>
        </w:rPr>
        <w:t>F</w:t>
      </w:r>
      <w:r w:rsidR="00377C71">
        <w:t xml:space="preserve">, click on </w:t>
      </w:r>
      <w:r w:rsidR="001F0B8B">
        <w:t>the “Check Completeness” button</w:t>
      </w:r>
      <w:r w:rsidR="00377C71">
        <w:t xml:space="preserve">.  If there are any errors listed, make the appropriate corrections, </w:t>
      </w:r>
      <w:proofErr w:type="gramStart"/>
      <w:r w:rsidR="00377C71">
        <w:t>then</w:t>
      </w:r>
      <w:proofErr w:type="gramEnd"/>
      <w:r w:rsidR="00377C71">
        <w:t xml:space="preserve"> click on </w:t>
      </w:r>
      <w:r w:rsidR="001F0B8B">
        <w:t>the “Check Completeness” button</w:t>
      </w:r>
      <w:r w:rsidR="00377C71">
        <w:t xml:space="preserve"> again.  If there are no errors listed and the </w:t>
      </w:r>
      <w:r w:rsidR="00377C71" w:rsidRPr="00377C71">
        <w:rPr>
          <w:b/>
        </w:rPr>
        <w:t>Status Indicator</w:t>
      </w:r>
      <w:r w:rsidR="00377C71">
        <w:t xml:space="preserve"> is still </w:t>
      </w:r>
      <w:r w:rsidR="00377C71" w:rsidRPr="008B3937">
        <w:rPr>
          <w:b/>
        </w:rPr>
        <w:t>F</w:t>
      </w:r>
      <w:r w:rsidR="00377C71">
        <w:t xml:space="preserve">, try going to the </w:t>
      </w:r>
      <w:r w:rsidR="00377C71" w:rsidRPr="00914727">
        <w:t>AQS</w:t>
      </w:r>
      <w:r w:rsidR="00377C71" w:rsidRPr="00377C71">
        <w:rPr>
          <w:b/>
        </w:rPr>
        <w:t xml:space="preserve"> Main Menu</w:t>
      </w:r>
      <w:r w:rsidR="00377C71" w:rsidRPr="00377C71">
        <w:t>.  Then</w:t>
      </w:r>
      <w:r w:rsidR="00377C71">
        <w:t xml:space="preserve"> go to </w:t>
      </w:r>
      <w:proofErr w:type="gramStart"/>
      <w:r w:rsidR="00377C71" w:rsidRPr="008B3937">
        <w:rPr>
          <w:b/>
        </w:rPr>
        <w:t>Maintain</w:t>
      </w:r>
      <w:proofErr w:type="gramEnd"/>
      <w:r w:rsidR="00377C71">
        <w:t xml:space="preserve"> and </w:t>
      </w:r>
      <w:r w:rsidR="00377C71" w:rsidRPr="008B3937">
        <w:rPr>
          <w:b/>
        </w:rPr>
        <w:t>Monitor</w:t>
      </w:r>
      <w:r w:rsidR="00377C71">
        <w:t>.  Query the monitor by entering the “Tribal Code”, “Site ID”</w:t>
      </w:r>
      <w:r w:rsidR="008B3937">
        <w:t>, and “Parameter Code”</w:t>
      </w:r>
      <w:r w:rsidR="00377C71">
        <w:t>, then clicking on “Execute Query”.</w:t>
      </w:r>
      <w:r w:rsidR="008B3937">
        <w:t xml:space="preserve">  The </w:t>
      </w:r>
      <w:r w:rsidR="008B3937" w:rsidRPr="008B3937">
        <w:rPr>
          <w:b/>
        </w:rPr>
        <w:t>Status Indicator</w:t>
      </w:r>
      <w:r w:rsidR="008B3937">
        <w:t xml:space="preserve"> should now be changed to </w:t>
      </w:r>
      <w:r w:rsidR="008B3937" w:rsidRPr="008B3937">
        <w:rPr>
          <w:b/>
        </w:rPr>
        <w:t>P</w:t>
      </w:r>
      <w:r w:rsidR="008B3937">
        <w:t>.</w:t>
      </w:r>
      <w:bookmarkStart w:id="0" w:name="_GoBack"/>
      <w:bookmarkEnd w:id="0"/>
    </w:p>
    <w:p w:rsidR="00481FA1" w:rsidRDefault="00481FA1" w:rsidP="00481FA1">
      <w:pPr>
        <w:pStyle w:val="ListParagraph"/>
        <w:numPr>
          <w:ilvl w:val="0"/>
          <w:numId w:val="1"/>
        </w:numPr>
      </w:pPr>
      <w:r w:rsidRPr="00481FA1">
        <w:rPr>
          <w:color w:val="0070C0"/>
        </w:rPr>
        <w:t xml:space="preserve">Congratulations you established a </w:t>
      </w:r>
      <w:r w:rsidR="008B3937">
        <w:rPr>
          <w:color w:val="0070C0"/>
        </w:rPr>
        <w:t>monitor</w:t>
      </w:r>
      <w:r w:rsidR="008B3937" w:rsidRPr="00481FA1">
        <w:rPr>
          <w:color w:val="0070C0"/>
        </w:rPr>
        <w:t xml:space="preserve"> </w:t>
      </w:r>
      <w:r w:rsidRPr="00481FA1">
        <w:rPr>
          <w:color w:val="0070C0"/>
        </w:rPr>
        <w:t>in AQS!</w:t>
      </w:r>
    </w:p>
    <w:sectPr w:rsidR="00481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B3D13"/>
    <w:multiLevelType w:val="hybridMultilevel"/>
    <w:tmpl w:val="47D04B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01"/>
    <w:rsid w:val="000936E9"/>
    <w:rsid w:val="001125AC"/>
    <w:rsid w:val="001A68A0"/>
    <w:rsid w:val="001C607A"/>
    <w:rsid w:val="001F0B8B"/>
    <w:rsid w:val="00226A48"/>
    <w:rsid w:val="0023374F"/>
    <w:rsid w:val="00237982"/>
    <w:rsid w:val="002C352D"/>
    <w:rsid w:val="002F5F01"/>
    <w:rsid w:val="0031348A"/>
    <w:rsid w:val="00317B7C"/>
    <w:rsid w:val="00373BD8"/>
    <w:rsid w:val="00377C71"/>
    <w:rsid w:val="00443CB8"/>
    <w:rsid w:val="00481FA1"/>
    <w:rsid w:val="004C7937"/>
    <w:rsid w:val="005E68FC"/>
    <w:rsid w:val="00691BD5"/>
    <w:rsid w:val="006C65B4"/>
    <w:rsid w:val="006C7D08"/>
    <w:rsid w:val="00730AA5"/>
    <w:rsid w:val="00737897"/>
    <w:rsid w:val="00763948"/>
    <w:rsid w:val="00766ADD"/>
    <w:rsid w:val="0079356E"/>
    <w:rsid w:val="007A10B6"/>
    <w:rsid w:val="007E2C4C"/>
    <w:rsid w:val="008B3937"/>
    <w:rsid w:val="008E39DA"/>
    <w:rsid w:val="00914727"/>
    <w:rsid w:val="009310F3"/>
    <w:rsid w:val="009469F6"/>
    <w:rsid w:val="0098119C"/>
    <w:rsid w:val="00995CE0"/>
    <w:rsid w:val="009B1CF0"/>
    <w:rsid w:val="009F1F80"/>
    <w:rsid w:val="00A31D87"/>
    <w:rsid w:val="00A320E2"/>
    <w:rsid w:val="00BD3E97"/>
    <w:rsid w:val="00C40DFF"/>
    <w:rsid w:val="00C95A51"/>
    <w:rsid w:val="00D26E01"/>
    <w:rsid w:val="00D91B8A"/>
    <w:rsid w:val="00DB238B"/>
    <w:rsid w:val="00DC7CFC"/>
    <w:rsid w:val="00E0685F"/>
    <w:rsid w:val="00E63646"/>
    <w:rsid w:val="00EE6116"/>
    <w:rsid w:val="00F97601"/>
    <w:rsid w:val="00FA48A9"/>
    <w:rsid w:val="00FB4631"/>
    <w:rsid w:val="00FB579D"/>
    <w:rsid w:val="00FD325F"/>
    <w:rsid w:val="00FE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6051F-85B8-4092-9D1C-6701546E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F01"/>
    <w:pPr>
      <w:ind w:left="720"/>
      <w:contextualSpacing/>
    </w:pPr>
  </w:style>
  <w:style w:type="paragraph" w:styleId="BalloonText">
    <w:name w:val="Balloon Text"/>
    <w:basedOn w:val="Normal"/>
    <w:link w:val="BalloonTextChar"/>
    <w:uiPriority w:val="99"/>
    <w:semiHidden/>
    <w:unhideWhenUsed/>
    <w:rsid w:val="00D91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Angelique Maureen Luedeker</cp:lastModifiedBy>
  <cp:revision>26</cp:revision>
  <dcterms:created xsi:type="dcterms:W3CDTF">2019-02-05T18:34:00Z</dcterms:created>
  <dcterms:modified xsi:type="dcterms:W3CDTF">2020-06-15T20:34:00Z</dcterms:modified>
</cp:coreProperties>
</file>